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rPr>
          <w:rFonts w:ascii="Arial" w:cs="Arial" w:eastAsia="Arial" w:hAnsi="Arial"/>
          <w:b w:val="1"/>
          <w:bCs w:val="1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30"/>
          <w:szCs w:val="30"/>
          <w:rtl w:val="0"/>
        </w:rPr>
        <w:t xml:space="preserve">Fasi di Lavoro per l'Intero Gruppo Classe</w:t>
      </w:r>
    </w:p>
    <w:p w:rsidR="00000000" w:rsidDel="00000000" w:rsidP="00000000" w:rsidRDefault="00000000" w:rsidRPr="00000000" w14:paraId="00000002">
      <w:pPr>
        <w:numPr>
          <w:ilvl w:val="0"/>
          <w:numId w:val="1"/>
        </w:numPr>
        <w:spacing w:after="0" w:line="24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Fase 1: Raccolta Dati e ricerca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numPr>
          <w:ilvl w:val="1"/>
          <w:numId w:val="1"/>
        </w:numPr>
        <w:spacing w:after="0" w:line="240" w:lineRule="auto"/>
        <w:ind w:left="144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Studio del fenomeno, distinzione tra bullismo tradizionale e cyberbullismo.</w:t>
      </w:r>
    </w:p>
    <w:p w:rsidR="00000000" w:rsidDel="00000000" w:rsidP="00000000" w:rsidRDefault="00000000" w:rsidRPr="00000000" w14:paraId="00000004">
      <w:pPr>
        <w:numPr>
          <w:ilvl w:val="1"/>
          <w:numId w:val="1"/>
        </w:numPr>
        <w:spacing w:after="0" w:line="240" w:lineRule="auto"/>
        <w:ind w:left="144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Estrapolazione di dati statistici aggiornati sul territorio nazionale.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spacing w:after="0" w:line="24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Fase 2: Analisi del Contesto e Legislazione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numPr>
          <w:ilvl w:val="1"/>
          <w:numId w:val="1"/>
        </w:numPr>
        <w:spacing w:after="0" w:line="240" w:lineRule="auto"/>
        <w:ind w:left="144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Approfondimento sugli aspetti psicologici ed emotivi.</w:t>
      </w:r>
    </w:p>
    <w:p w:rsidR="00000000" w:rsidDel="00000000" w:rsidP="00000000" w:rsidRDefault="00000000" w:rsidRPr="00000000" w14:paraId="00000007">
      <w:pPr>
        <w:numPr>
          <w:ilvl w:val="1"/>
          <w:numId w:val="1"/>
        </w:numPr>
        <w:spacing w:after="0" w:line="240" w:lineRule="auto"/>
        <w:ind w:left="144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Ricerca sul 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quadro normativo italiano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(Legge 71/2017) e le tutele online.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after="0" w:line="24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Fase 3: Strategie di Contrasto e Aiuto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1"/>
          <w:numId w:val="1"/>
        </w:numPr>
        <w:spacing w:after="0" w:line="240" w:lineRule="auto"/>
        <w:ind w:left="144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Individuazione dei canali di supporto (es. numeri verdi, sportelli d'ascolto, polizia postale).</w:t>
      </w:r>
    </w:p>
    <w:p w:rsidR="00000000" w:rsidDel="00000000" w:rsidP="00000000" w:rsidRDefault="00000000" w:rsidRPr="00000000" w14:paraId="0000000A">
      <w:pPr>
        <w:numPr>
          <w:ilvl w:val="1"/>
          <w:numId w:val="1"/>
        </w:numPr>
        <w:spacing w:after="0" w:line="240" w:lineRule="auto"/>
        <w:ind w:left="144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Raccolta di buone pratiche e decalogo di comportamento.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0" w:line="24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Fase 4: Concept, Storyboard e Copywriting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1"/>
          <w:numId w:val="1"/>
        </w:numPr>
        <w:spacing w:after="0" w:line="240" w:lineRule="auto"/>
        <w:ind w:left="144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Ideazione del layout, della palette colori e della veste grafica.</w:t>
      </w:r>
    </w:p>
    <w:p w:rsidR="00000000" w:rsidDel="00000000" w:rsidP="00000000" w:rsidRDefault="00000000" w:rsidRPr="00000000" w14:paraId="0000000D">
      <w:pPr>
        <w:numPr>
          <w:ilvl w:val="1"/>
          <w:numId w:val="1"/>
        </w:numPr>
        <w:spacing w:after="0" w:line="240" w:lineRule="auto"/>
        <w:ind w:left="144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Sintesi dei testi in pillole, scelta delle icone.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0" w:line="24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Fase 5: Revisione e Pubblicazione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1"/>
          <w:numId w:val="1"/>
        </w:numPr>
        <w:spacing w:after="0" w:line="240" w:lineRule="auto"/>
        <w:ind w:left="144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Digitalizzazione tramite tool di progettazione grafica.</w:t>
      </w:r>
    </w:p>
    <w:p w:rsidR="00000000" w:rsidDel="00000000" w:rsidP="00000000" w:rsidRDefault="00000000" w:rsidRPr="00000000" w14:paraId="00000010">
      <w:pPr>
        <w:numPr>
          <w:ilvl w:val="1"/>
          <w:numId w:val="1"/>
        </w:numPr>
        <w:spacing w:after="0" w:line="240" w:lineRule="auto"/>
        <w:ind w:left="144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Revisione finale dei contenuti e condivisione dell'elaborato.</w:t>
      </w:r>
    </w:p>
    <w:p w:rsidR="00000000" w:rsidDel="00000000" w:rsidP="00000000" w:rsidRDefault="00000000" w:rsidRPr="00000000" w14:paraId="00000011">
      <w:pPr>
        <w:spacing w:after="0" w:line="240" w:lineRule="auto"/>
        <w:ind w:left="1440" w:firstLine="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="240" w:lineRule="auto"/>
        <w:rPr>
          <w:rFonts w:ascii="Arial" w:cs="Arial" w:eastAsia="Arial" w:hAnsi="Arial"/>
          <w:b w:val="1"/>
          <w:bCs w:val="1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30"/>
          <w:szCs w:val="30"/>
          <w:rtl w:val="0"/>
        </w:rPr>
        <w:t xml:space="preserve">Archivi e Siti di Riferimento per la Ricerca</w:t>
      </w:r>
    </w:p>
    <w:p w:rsidR="00000000" w:rsidDel="00000000" w:rsidP="00000000" w:rsidRDefault="00000000" w:rsidRPr="00000000" w14:paraId="00000013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Per garantire l'accuratezza dei dati, gli studenti hanno attinto ai seguenti portali ufficiali e archivi:</w:t>
      </w:r>
    </w:p>
    <w:p w:rsidR="00000000" w:rsidDel="00000000" w:rsidP="00000000" w:rsidRDefault="00000000" w:rsidRPr="00000000" w14:paraId="00000014">
      <w:pPr>
        <w:numPr>
          <w:ilvl w:val="0"/>
          <w:numId w:val="3"/>
        </w:numPr>
        <w:spacing w:after="0" w:line="24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Istat: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Per l'estrazione di report ufficiali e dataset aggiornati sui comportamenti a rischio dei giovani in Italia.</w:t>
      </w:r>
    </w:p>
    <w:p w:rsidR="00000000" w:rsidDel="00000000" w:rsidP="00000000" w:rsidRDefault="00000000" w:rsidRPr="00000000" w14:paraId="00000015">
      <w:pPr>
        <w:numPr>
          <w:ilvl w:val="0"/>
          <w:numId w:val="3"/>
        </w:numPr>
        <w:spacing w:after="0" w:line="24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Generazioni Connesse: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Il Centro Nazionale per la Sicurezza in Rete, co-finanziato dalla Commissione Europea, offre linee guida, materiali didattici e dossier preziosi.</w:t>
      </w:r>
    </w:p>
    <w:p w:rsidR="00000000" w:rsidDel="00000000" w:rsidP="00000000" w:rsidRDefault="00000000" w:rsidRPr="00000000" w14:paraId="00000016">
      <w:pPr>
        <w:numPr>
          <w:ilvl w:val="0"/>
          <w:numId w:val="3"/>
        </w:numPr>
        <w:spacing w:after="0" w:line="24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Polizia Postale e delle Comunicazioni: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Sezione dedicata al cyberbullismo con consigli pratici, informazioni sulle normative vigenti e modulistica per le segnalazioni.</w:t>
      </w:r>
    </w:p>
    <w:p w:rsidR="00000000" w:rsidDel="00000000" w:rsidP="00000000" w:rsidRDefault="00000000" w:rsidRPr="00000000" w14:paraId="00000017">
      <w:pPr>
        <w:numPr>
          <w:ilvl w:val="0"/>
          <w:numId w:val="3"/>
        </w:numPr>
        <w:spacing w:after="0" w:line="24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Osservatorio Cyberbullismo: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Contenuti e focus curati dal Garante per la Protezione dei Dati Personali.</w:t>
      </w:r>
    </w:p>
    <w:p w:rsidR="00000000" w:rsidDel="00000000" w:rsidP="00000000" w:rsidRDefault="00000000" w:rsidRPr="00000000" w14:paraId="00000018">
      <w:pPr>
        <w:spacing w:after="0" w:line="240" w:lineRule="auto"/>
        <w:ind w:left="720" w:firstLine="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="240" w:lineRule="auto"/>
        <w:rPr>
          <w:rFonts w:ascii="Arial" w:cs="Arial" w:eastAsia="Arial" w:hAnsi="Arial"/>
          <w:b w:val="1"/>
          <w:bCs w:val="1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30"/>
          <w:szCs w:val="30"/>
          <w:rtl w:val="0"/>
        </w:rPr>
        <w:t xml:space="preserve">Criticità Operative e Organizzative</w:t>
      </w:r>
    </w:p>
    <w:p w:rsidR="00000000" w:rsidDel="00000000" w:rsidP="00000000" w:rsidRDefault="00000000" w:rsidRPr="00000000" w14:paraId="0000001A">
      <w:pPr>
        <w:numPr>
          <w:ilvl w:val="0"/>
          <w:numId w:val="2"/>
        </w:numPr>
        <w:spacing w:after="0" w:line="24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Frammentazione dell'infografica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: si è presentato il rischio di ottenere un "collage" disomogeneo, con stili grafici e toni di voce diversi per ogni sottogruppo.</w:t>
      </w:r>
    </w:p>
    <w:p w:rsidR="00000000" w:rsidDel="00000000" w:rsidP="00000000" w:rsidRDefault="00000000" w:rsidRPr="00000000" w14:paraId="0000001B">
      <w:pPr>
        <w:numPr>
          <w:ilvl w:val="0"/>
          <w:numId w:val="2"/>
        </w:numPr>
        <w:spacing w:after="0" w:line="24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Disequilibrio nel carico di lavoro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: qualcuno ha finito molto prima di altri.</w:t>
      </w:r>
    </w:p>
    <w:p w:rsidR="00000000" w:rsidDel="00000000" w:rsidP="00000000" w:rsidRDefault="00000000" w:rsidRPr="00000000" w14:paraId="0000001C">
      <w:pPr>
        <w:numPr>
          <w:ilvl w:val="0"/>
          <w:numId w:val="2"/>
        </w:numPr>
        <w:spacing w:after="0" w:line="24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Sovraccarico di testo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1D">
      <w:pPr>
        <w:numPr>
          <w:ilvl w:val="0"/>
          <w:numId w:val="2"/>
        </w:numPr>
        <w:spacing w:after="0" w:line="24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Rischio di fonti non verificate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: l'uso di blog generici, fake news o dati statistici obsoleti presi da internet senza incrociare le fonti ufficiali.</w:t>
      </w:r>
    </w:p>
    <w:p w:rsidR="00000000" w:rsidDel="00000000" w:rsidP="00000000" w:rsidRDefault="00000000" w:rsidRPr="00000000" w14:paraId="0000001E">
      <w:pPr>
        <w:numPr>
          <w:ilvl w:val="0"/>
          <w:numId w:val="2"/>
        </w:numPr>
        <w:spacing w:after="0" w:line="24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Rischio di non rispondere appieno alle richieste del progetto iniziale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.</w:t>
      </w:r>
    </w:p>
    <w:sectPr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Calibri" w:cs="Calibri" w:eastAsia="Calibri" w:hAnsi="Calibri"/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Calibri" w:cs="Calibri" w:eastAsia="Calibri" w:hAnsi="Calibri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F4O2XEDE57Ck+eCa7Yfi+97tl1g==">CgMxLjA4AHIhMThUSWxtVXQtRHd4bGxwYUx2dlotYWpCS2VsVk4talFv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